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</w:rPr>
      </w:pPr>
      <w:r>
        <w:rPr>
          <w:rFonts w:hint="eastAsia"/>
          <w:b/>
        </w:rPr>
        <w:t xml:space="preserve">                                                            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项目预算表编制说明</w:t>
      </w:r>
    </w:p>
    <w:p>
      <w:p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1.国家社会科学基金项目资金分为直接费用和间接费用，间接费用由项目责任单位按照《国家社会科学基金项目资金管理办法》的有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8"/>
          <w:szCs w:val="28"/>
        </w:rPr>
        <w:t>关规定核定，统筹管理使用。</w:t>
      </w:r>
    </w:p>
    <w:p>
      <w:p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2.项目负责人应当根据项目研究需要和直接费用开支范围，科学合理、实事求是、严谨慎重地编制直接费用预算。直接费用计算公式为：</w:t>
      </w:r>
    </w:p>
    <w:p>
      <w:p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直接费用=资助总额－资助总额×间接费用相应核定比例</w:t>
      </w:r>
    </w:p>
    <w:p>
      <w:p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3.编制预算时，不考虑不可预见因素、前期投入、预留资金及配套经费。直接费用各项开支科目均不设比例限制，填写比例只是为了统计需要。</w:t>
      </w:r>
    </w:p>
    <w:p>
      <w:p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4.项目负责人要严格执行批准后的项目预算。确需调剂的，应当按照有关规定报批。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E7"/>
    <w:rsid w:val="001B7C5B"/>
    <w:rsid w:val="00462E73"/>
    <w:rsid w:val="005341E7"/>
    <w:rsid w:val="00EF7DF4"/>
    <w:rsid w:val="1290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287</Characters>
  <Lines>2</Lines>
  <Paragraphs>1</Paragraphs>
  <TotalTime>0</TotalTime>
  <ScaleCrop>false</ScaleCrop>
  <LinksUpToDate>false</LinksUpToDate>
  <CharactersWithSpaces>336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2016-10-12T01:17:00Z</dcterms:created>
  <dc:creator>WIN7</dc:creator>
  <cp:lastModifiedBy>lenovo</cp:lastModifiedBy>
  <dcterms:modified xsi:type="dcterms:W3CDTF">2018-01-23T06:11:22Z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